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D6" w:rsidRPr="005D1CD6" w:rsidRDefault="005D1CD6" w:rsidP="005D1CD6">
      <w:pPr>
        <w:ind w:left="284" w:hanging="284"/>
        <w:jc w:val="right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 nr 3</w:t>
      </w:r>
      <w:r w:rsidR="007363AD">
        <w:rPr>
          <w:rFonts w:asciiTheme="minorHAnsi" w:hAnsiTheme="minorHAnsi" w:cs="Arial"/>
          <w:color w:val="232323"/>
          <w:sz w:val="20"/>
          <w:szCs w:val="20"/>
        </w:rPr>
        <w:t xml:space="preserve"> do Ogłoszenia</w:t>
      </w:r>
    </w:p>
    <w:p w:rsidR="001079E4" w:rsidRDefault="001079E4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>
        <w:rPr>
          <w:rFonts w:asciiTheme="minorHAnsi" w:hAnsiTheme="minorHAnsi" w:cs="Arial"/>
          <w:b/>
          <w:color w:val="232323"/>
          <w:sz w:val="20"/>
          <w:szCs w:val="20"/>
        </w:rPr>
        <w:t>WZÓR</w:t>
      </w:r>
    </w:p>
    <w:p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1079E4">
        <w:rPr>
          <w:rFonts w:asciiTheme="minorHAnsi" w:hAnsiTheme="minorHAnsi" w:cs="Arial"/>
          <w:b/>
          <w:bCs/>
          <w:sz w:val="20"/>
          <w:szCs w:val="20"/>
        </w:rPr>
        <w:t>…………………………….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CD4DC6">
        <w:rPr>
          <w:rFonts w:asciiTheme="minorHAnsi" w:hAnsiTheme="minorHAnsi" w:cs="Arial"/>
          <w:sz w:val="20"/>
          <w:szCs w:val="20"/>
        </w:rPr>
        <w:t>Skarbowców 8a</w:t>
      </w:r>
      <w:r w:rsidR="00393D93">
        <w:rPr>
          <w:rFonts w:asciiTheme="minorHAnsi" w:hAnsiTheme="minorHAnsi" w:cs="Arial"/>
          <w:sz w:val="20"/>
          <w:szCs w:val="20"/>
        </w:rPr>
        <w:t>, 53-025 Wrocław</w:t>
      </w:r>
      <w:r w:rsidR="00CD4DC6">
        <w:rPr>
          <w:rFonts w:asciiTheme="minorHAnsi" w:hAnsiTheme="minorHAnsi" w:cs="Arial"/>
          <w:sz w:val="20"/>
          <w:szCs w:val="20"/>
        </w:rPr>
        <w:t xml:space="preserve">  </w:t>
      </w:r>
      <w:r w:rsidR="00F959D6">
        <w:rPr>
          <w:rFonts w:asciiTheme="minorHAnsi" w:hAnsiTheme="minorHAnsi" w:cs="Arial"/>
          <w:sz w:val="20"/>
          <w:szCs w:val="20"/>
        </w:rPr>
        <w:t xml:space="preserve">,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Małgorzatę </w:t>
      </w:r>
      <w:r w:rsidR="009A6FE3">
        <w:rPr>
          <w:rFonts w:asciiTheme="minorHAnsi" w:hAnsiTheme="minorHAnsi" w:cs="Arial"/>
          <w:b/>
          <w:bCs/>
          <w:sz w:val="20"/>
          <w:szCs w:val="20"/>
        </w:rPr>
        <w:t>M</w:t>
      </w:r>
      <w:r w:rsidR="009E0DAF">
        <w:rPr>
          <w:rFonts w:asciiTheme="minorHAnsi" w:hAnsiTheme="minorHAnsi" w:cs="Arial"/>
          <w:b/>
          <w:bCs/>
          <w:sz w:val="20"/>
          <w:szCs w:val="20"/>
        </w:rPr>
        <w:t>atusiak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upoważnioną zgodnie ze statutem jednostki do samodzielnej reprezentacji , przy kontrasygnacie finansowej</w:t>
      </w:r>
    </w:p>
    <w:p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B67D54">
        <w:rPr>
          <w:rFonts w:asciiTheme="minorHAnsi" w:hAnsiTheme="minorHAnsi" w:cs="Arial"/>
          <w:b/>
          <w:bCs/>
          <w:sz w:val="20"/>
          <w:szCs w:val="20"/>
        </w:rPr>
        <w:t>Jolanty Jabłczyńskiej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B67D54">
        <w:rPr>
          <w:rFonts w:asciiTheme="minorHAnsi" w:hAnsiTheme="minorHAnsi" w:cs="Arial"/>
          <w:b/>
          <w:bCs/>
          <w:sz w:val="20"/>
          <w:szCs w:val="20"/>
        </w:rPr>
        <w:t>Zastępcy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Głównego Księgowego DODN we Wrocławiu,</w:t>
      </w:r>
    </w:p>
    <w:p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…………………………..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…………………………………………..</w:t>
      </w:r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łącznie zwanych w dalszej treści umowy  STRONAMI,</w:t>
      </w:r>
    </w:p>
    <w:p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zawarto umowę następującej treści :</w:t>
      </w:r>
    </w:p>
    <w:p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Decyzji Zarządu Województwa Dolnośląskiego z dnia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:rsidR="00225EB5" w:rsidRPr="00846D70" w:rsidRDefault="00846D70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Część budynku stanowiącą przedmiot niniejszej umowy zajmuje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lokal o powierzchni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≈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, składając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y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się z </w:t>
      </w:r>
      <w:r>
        <w:rPr>
          <w:rFonts w:asciiTheme="minorHAnsi" w:hAnsiTheme="minorHAnsi" w:cs="Arial"/>
          <w:color w:val="232323"/>
          <w:sz w:val="20"/>
          <w:szCs w:val="20"/>
        </w:rPr>
        <w:t>pomieszczeń biurowych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Na podstawie :</w:t>
      </w:r>
    </w:p>
    <w:p w:rsidR="00225EB5" w:rsidRPr="00422F02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XX/467/12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09 lutego 2012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rozstrzygnięcia i wyboru przez Wynajmującego oferty Najemcy złożonej w toku  postępowania przetargowego na najem powierzchni użytkowej w przedmiotowym budynku,</w:t>
      </w:r>
    </w:p>
    <w:p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braku zastrzeżeń członka zarządu województwa właściwego do gospodarowania mieniem (odpowiedzialnego za wykonanie ww. Uchwały),</w:t>
      </w:r>
    </w:p>
    <w:p w:rsidR="00303AB3" w:rsidRPr="00303AB3" w:rsidRDefault="00303AB3" w:rsidP="00303AB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lokal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>  w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w w/w lokalu.</w:t>
      </w:r>
    </w:p>
    <w:p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ziałalności zadeklarowanej  w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AD21B5" w:rsidRPr="00964630">
        <w:rPr>
          <w:rFonts w:asciiTheme="minorHAnsi" w:hAnsiTheme="minorHAnsi" w:cs="Arial"/>
          <w:color w:val="232323"/>
          <w:sz w:val="20"/>
          <w:szCs w:val="20"/>
        </w:rPr>
        <w:t>,</w:t>
      </w:r>
      <w:r w:rsidR="00F959D6">
        <w:rPr>
          <w:rFonts w:asciiTheme="minorHAnsi" w:hAnsiTheme="minorHAnsi" w:cs="Arial"/>
          <w:color w:val="232323"/>
          <w:sz w:val="20"/>
          <w:szCs w:val="20"/>
        </w:rPr>
        <w:t xml:space="preserve"> złożonej w przetargu 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:rsidR="00225EB5" w:rsidRPr="00422F02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Wynajmujący wyraża zgodę na przystosowanie przez Najemcę 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gospodarczej, jednak z uwzględnieniem przez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niego ogólnie obowiązujących wymogów przewidzianych w przepisach bezpieczeństwa budowlanego i przeciwpożarowego  dla</w:t>
      </w:r>
      <w:r w:rsidRPr="00422F0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:rsidR="00225EB5" w:rsidRPr="00422F02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Wynajmującego.</w:t>
      </w:r>
    </w:p>
    <w:p w:rsidR="00225EB5" w:rsidRDefault="00225EB5" w:rsidP="005F6EF6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Wprowadzone przez Najemcę zmiany, ulepszenia i nakłady 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po ustaniu stosunku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o ile 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t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o możliwe jest zobowiązany przywrócić stan pomieszczeń z dnia wydania przedmiotu najmu.</w:t>
      </w:r>
    </w:p>
    <w:p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:rsidR="00225EB5" w:rsidRPr="00422F02" w:rsidRDefault="00225EB5" w:rsidP="00422F02">
      <w:pPr>
        <w:numPr>
          <w:ilvl w:val="0"/>
          <w:numId w:val="5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Niniejsza Umowa została zawarta na czas określony,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………………………………………………….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r.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z zastrzeżeniem ust.2.</w:t>
      </w:r>
    </w:p>
    <w:p w:rsidR="005F6EF6" w:rsidRDefault="00225EB5" w:rsidP="003F7908">
      <w:pPr>
        <w:numPr>
          <w:ilvl w:val="0"/>
          <w:numId w:val="5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3F7908">
        <w:rPr>
          <w:rFonts w:asciiTheme="minorHAnsi" w:hAnsiTheme="minorHAnsi" w:cs="Arial"/>
          <w:color w:val="232323"/>
          <w:sz w:val="20"/>
          <w:szCs w:val="20"/>
        </w:rPr>
        <w:t xml:space="preserve">Strony zastrzegają sobie możliwość rozwiązania umowy </w:t>
      </w:r>
      <w:r w:rsidR="00C820C9" w:rsidRPr="003F7908">
        <w:rPr>
          <w:rFonts w:asciiTheme="minorHAnsi" w:hAnsiTheme="minorHAnsi" w:cs="Arial"/>
          <w:color w:val="232323"/>
          <w:sz w:val="20"/>
          <w:szCs w:val="20"/>
        </w:rPr>
        <w:t xml:space="preserve">z ważnych powodów </w:t>
      </w:r>
      <w:r w:rsidRPr="003F7908">
        <w:rPr>
          <w:rFonts w:asciiTheme="minorHAnsi" w:hAnsiTheme="minorHAnsi" w:cs="Arial"/>
          <w:color w:val="232323"/>
          <w:sz w:val="20"/>
          <w:szCs w:val="20"/>
        </w:rPr>
        <w:t>z zachowaniem dwumiesięcznego okresu wypowiedzenia, skutkującego na koniec miesiąca kalendarzowego.</w:t>
      </w:r>
      <w:r w:rsidR="00C820C9" w:rsidRPr="003F7908">
        <w:rPr>
          <w:rFonts w:asciiTheme="minorHAnsi" w:hAnsiTheme="minorHAnsi" w:cs="Arial"/>
          <w:color w:val="232323"/>
          <w:sz w:val="20"/>
          <w:szCs w:val="20"/>
        </w:rPr>
        <w:t xml:space="preserve"> Wypowiedzenie umowy 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wymaga formy pisemnej pod rygorem nieważności.</w:t>
      </w:r>
    </w:p>
    <w:p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tto za 1</w:t>
      </w:r>
      <w:r w:rsidR="00DA7357">
        <w:rPr>
          <w:rFonts w:asciiTheme="minorHAnsi" w:hAnsiTheme="minorHAnsi" w:cs="Arial"/>
          <w:color w:val="232323"/>
          <w:sz w:val="20"/>
          <w:szCs w:val="20"/>
        </w:rPr>
        <w:t xml:space="preserve"> m-c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, z zastrzeżeniem ust. 2 i 7.</w:t>
      </w:r>
    </w:p>
    <w:p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, przelewem na bankowy rac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>hunek  bieżący Wynajmującego, w 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oparciu  o wystawioną przez  Wynajmującego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:rsidR="00225EB5" w:rsidRPr="00422F02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:rsidR="00225EB5" w:rsidRPr="00422F02" w:rsidRDefault="00225EB5" w:rsidP="005F6EF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Oprócz czynszu Najemca zobowiąz</w:t>
      </w:r>
      <w:r w:rsidR="00204411">
        <w:rPr>
          <w:rFonts w:asciiTheme="minorHAnsi" w:hAnsiTheme="minorHAnsi" w:cs="Arial"/>
          <w:color w:val="232323"/>
          <w:sz w:val="20"/>
          <w:szCs w:val="20"/>
        </w:rPr>
        <w:t>any jest do regulowania</w:t>
      </w:r>
      <w:r w:rsidR="004E112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opłat  </w:t>
      </w:r>
      <w:r w:rsidR="004E112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z</w:t>
      </w:r>
      <w:r w:rsidR="00204411">
        <w:rPr>
          <w:rFonts w:asciiTheme="minorHAnsi" w:hAnsiTheme="minorHAnsi" w:cs="Arial"/>
          <w:color w:val="232323"/>
          <w:sz w:val="20"/>
          <w:szCs w:val="20"/>
        </w:rPr>
        <w:t>wiązanych z eksploat</w:t>
      </w:r>
      <w:r w:rsidR="00D06095">
        <w:rPr>
          <w:rFonts w:asciiTheme="minorHAnsi" w:hAnsiTheme="minorHAnsi" w:cs="Arial"/>
          <w:color w:val="232323"/>
          <w:sz w:val="20"/>
          <w:szCs w:val="20"/>
        </w:rPr>
        <w:t xml:space="preserve">acją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="00D06095">
        <w:rPr>
          <w:rFonts w:asciiTheme="minorHAnsi" w:hAnsiTheme="minorHAnsi" w:cs="Arial"/>
          <w:color w:val="232323"/>
          <w:sz w:val="20"/>
          <w:szCs w:val="20"/>
        </w:rPr>
        <w:t xml:space="preserve"> wg wskazań</w:t>
      </w:r>
      <w:r w:rsidR="00204411">
        <w:rPr>
          <w:rFonts w:asciiTheme="minorHAnsi" w:hAnsiTheme="minorHAnsi" w:cs="Arial"/>
          <w:color w:val="232323"/>
          <w:sz w:val="20"/>
          <w:szCs w:val="20"/>
        </w:rPr>
        <w:t xml:space="preserve"> liczników jeśli są zainstalowane</w:t>
      </w:r>
      <w:r w:rsidR="00D06095">
        <w:rPr>
          <w:rFonts w:asciiTheme="minorHAnsi" w:hAnsiTheme="minorHAnsi" w:cs="Arial"/>
          <w:color w:val="232323"/>
          <w:sz w:val="20"/>
          <w:szCs w:val="20"/>
        </w:rPr>
        <w:t>.</w:t>
      </w:r>
    </w:p>
    <w:p w:rsidR="00225EB5" w:rsidRPr="00422F02" w:rsidRDefault="00964630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 xml:space="preserve">6. 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Należności z tytułu świadczeń, o których mowa w ustępie poprzedzającym  Najemca jest zobowiązany regulować bezpośrednio dostawcom w ramach odrębnie zawartych umów lub porozumień, albo w drodze ustalenia odrębnych zasad obliczania tych obciążeń.</w:t>
      </w:r>
    </w:p>
    <w:p w:rsidR="00225EB5" w:rsidRDefault="00225EB5" w:rsidP="005F6EF6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będzie korygowan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 okresach rocznych o średnioroczny wskaźnik wzrostu cen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 GUS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 przypadku wzrostu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 przypadku gdy wskaźnik 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0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woli Wynajmującego. Zmiana 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czynszu będzie obowiązywała od miesiąca, w którym opublikowano wskaźnik.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Zmiana stawek czynszu nie wymaga zmiany umowy.</w:t>
      </w:r>
    </w:p>
    <w:p w:rsidR="005F6EF6" w:rsidRPr="00422F02" w:rsidRDefault="005F6EF6" w:rsidP="00235A66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:rsidR="00225EB5" w:rsidRPr="005F6EF6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owa w ust.1  rozliczenie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tylko jeśli Najemca poinformował o konieczności wymiany i napraw Wynajmującego i </w:t>
      </w:r>
      <w:r w:rsidR="00E93BEB">
        <w:rPr>
          <w:rFonts w:asciiTheme="minorHAnsi" w:hAnsiTheme="minorHAnsi" w:cs="Arial"/>
          <w:color w:val="232323"/>
          <w:sz w:val="20"/>
          <w:szCs w:val="20"/>
        </w:rPr>
        <w:t>urządził</w:t>
      </w:r>
      <w:bookmarkStart w:id="0" w:name="_GoBack"/>
      <w:bookmarkEnd w:id="0"/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z nim koszty i zakres prac.</w:t>
      </w:r>
    </w:p>
    <w:p w:rsidR="005F6EF6" w:rsidRPr="005F6EF6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8.</w:t>
      </w:r>
    </w:p>
    <w:p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Bez pisemnej zgody Wynajmującego, Najemcy nie wolno  oddawać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 nie częściej jednak niż raz w miesiącu.</w:t>
      </w:r>
    </w:p>
    <w:p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:</w:t>
      </w:r>
    </w:p>
    <w:p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zalegania przez Najemcę z płatnością czynszu za dwa pełne okresy rozliczeniowe</w:t>
      </w:r>
      <w:r w:rsidR="003F7908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zalegania przez Najemcę z płatnością jakichkolwiek opłat eksploatacyjnych związanych z korzystaniem z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przedmiotu najmu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przez okres 2 miesięcy,</w:t>
      </w:r>
    </w:p>
    <w:p w:rsidR="00427B0D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najemca wykorzystuje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niezgodnie z jego przeznaczeniem lub dopuścił się podnajmu względnie oddania lokalu do bezpłatnego użytkowania osobie trzeciej bez pisemnej zgody Wynajmującego,</w:t>
      </w:r>
      <w:r w:rsidR="00F959D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</w:p>
    <w:p w:rsidR="00225EB5" w:rsidRPr="00F959D6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F959D6">
        <w:rPr>
          <w:rFonts w:asciiTheme="minorHAnsi" w:hAnsiTheme="minorHAnsi" w:cs="Arial"/>
          <w:color w:val="232323"/>
          <w:sz w:val="20"/>
          <w:szCs w:val="20"/>
        </w:rPr>
        <w:t xml:space="preserve">Wynajmujący może, rozwiązać niniejszą umowę bez zachowania okresu wypowiedzenia, a na </w:t>
      </w:r>
      <w:r w:rsidR="00964630" w:rsidRPr="00F959D6">
        <w:rPr>
          <w:rFonts w:asciiTheme="minorHAnsi" w:hAnsiTheme="minorHAnsi" w:cs="Arial"/>
          <w:color w:val="232323"/>
          <w:sz w:val="20"/>
          <w:szCs w:val="20"/>
        </w:rPr>
        <w:t xml:space="preserve">rzeczach Najemcy </w:t>
      </w:r>
      <w:r w:rsidRPr="00F959D6">
        <w:rPr>
          <w:rFonts w:asciiTheme="minorHAnsi" w:hAnsiTheme="minorHAnsi" w:cs="Arial"/>
          <w:color w:val="232323"/>
          <w:sz w:val="20"/>
          <w:szCs w:val="20"/>
        </w:rPr>
        <w:t>wniesionych do przedmiotu najmu służy mu ustawowe prawo zastawu do czasu uregulowania przez Najemcę wszelkich należności związanych ze stosunkiem najmu.</w:t>
      </w:r>
    </w:p>
    <w:p w:rsidR="00427B0D" w:rsidRDefault="009A6FE3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:rsidR="00427B0D" w:rsidRDefault="00427B0D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427B0D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§10.</w:t>
      </w:r>
    </w:p>
    <w:p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Po zakończeniu umowy najmu, Najemca zobowiązany jest zwrócić Wynajmującemu przedmiot najmu w stanie nie pogorszonym  ponad normalne zużycie w termie 7 dni od dnia rozwiązania umowy.</w:t>
      </w:r>
    </w:p>
    <w:p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przypadku zaniechania wydania lokalu w stanie i w terminie opisanym w ustępie poprzedzającym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2,5 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opóźnienia.</w:t>
      </w:r>
    </w:p>
    <w:p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Niezależnie od zapłaty kary umownej opisanej w ustępie poprzednim Najemcę nadal będzie obciążał obowiązek wynikający z ust 1 niniejszego paragrafu.</w:t>
      </w:r>
    </w:p>
    <w:p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zastrzeżoną karę umowną na zasadach ogólnych.</w:t>
      </w:r>
    </w:p>
    <w:p w:rsidR="00225EB5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Podstawą do ewentualnych rozliczeń pomiędzy stronami będzie podpisany protokół zdawczo – odbiorczy przedmiotu najmu.</w:t>
      </w:r>
    </w:p>
    <w:p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</w:p>
    <w:p w:rsidR="000268A4" w:rsidRPr="00CC4471" w:rsidRDefault="000268A4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W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 tytułu ewentualnie wyrządzonych przez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Najemcę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szkód w lokalu, pogorszenia stanu lokalu, zaległości z tytułu czynszu i opłat związanych z eksploatacją, ewentualnej kary umownej przewidzianej w paragrafie poprzedzającym oraz innych ewentualnych roszczeń wynikających z niedotrzymania prz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ę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 zobowiązań umownych.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 jednomiesięcznego czynszu brutto</w:t>
      </w:r>
      <w:r w:rsidR="003F7908" w:rsidRPr="00CC4471">
        <w:rPr>
          <w:rFonts w:asciiTheme="minorHAnsi" w:hAnsiTheme="minorHAnsi" w:cs="Arial"/>
          <w:color w:val="232323"/>
          <w:sz w:val="20"/>
          <w:szCs w:val="20"/>
        </w:rPr>
        <w:t xml:space="preserve"> za przedmiot najmu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, tj. ……</w:t>
      </w:r>
    </w:p>
    <w:p w:rsidR="001079E4" w:rsidRPr="00CC4471" w:rsidRDefault="0078182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 (słownie: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0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0/100), na co Najemca wyraża zgodę.</w:t>
      </w:r>
    </w:p>
    <w:p w:rsidR="00225EB5" w:rsidRPr="00CC4471" w:rsidRDefault="00CC4471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może dokonać potrącenia z kaucji pieniężnej bezspornych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wyraża na to nieodwołalną zgodę.</w:t>
      </w:r>
    </w:p>
    <w:p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 przypadku potrącenia dokonanego przez Wynajmującego w okresie trwania stosunku najmu Najemca zobowiązuje się do uzupełnienia środków pieniężnych na poczet kaucji  w wysokości wynikającej z oświadczenia Wynajmującego o potrąceniu w terminie 7 dni od daty zawiadomienia Najemcy przez Wynajmującego  o dokonanym  potrąceniu i jego wysokości.</w:t>
      </w:r>
    </w:p>
    <w:p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okresie trwania najmu,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 może żądać pokrycia swoich zobowiązań wobec Wynajmującego lub dostawców mediów ze środków wpłaconych na poczet kaucji.</w:t>
      </w:r>
    </w:p>
    <w:p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), na rachunku bankowym należącym do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.</w:t>
      </w:r>
    </w:p>
    <w:p w:rsidR="00AC103A" w:rsidRPr="00CC4471" w:rsidRDefault="00AC103A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</w:t>
      </w:r>
      <w:r w:rsidR="00EE0FFD" w:rsidRPr="00CC4471">
        <w:rPr>
          <w:rFonts w:asciiTheme="minorHAnsi" w:hAnsiTheme="minorHAnsi" w:cs="Arial"/>
          <w:color w:val="232323"/>
          <w:sz w:val="20"/>
          <w:szCs w:val="20"/>
        </w:rPr>
        <w:t xml:space="preserve">w terminie 1 miesiąca od dnia wydania lokalu po zakończeniu umowy najmu, po potrąceniu należności Wynajmującego zgodnie z </w:t>
      </w:r>
      <w:r w:rsidR="00EE0FFD"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ust.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 1 i 2.</w:t>
      </w:r>
    </w:p>
    <w:p w:rsidR="00CF206A" w:rsidRPr="00422F02" w:rsidRDefault="00CF206A" w:rsidP="00CF206A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12.</w:t>
      </w:r>
    </w:p>
    <w:p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:rsidR="00CF206A" w:rsidRPr="00422F02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13.</w:t>
      </w:r>
    </w:p>
    <w:p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:rsidR="00CF206A" w:rsidRPr="00422F02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14.</w:t>
      </w:r>
    </w:p>
    <w:p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Strony  poddają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:rsidR="00CF206A" w:rsidRPr="00422F02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15.</w:t>
      </w:r>
    </w:p>
    <w:p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:rsidR="00CF206A" w:rsidRPr="00422F02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16.</w:t>
      </w:r>
    </w:p>
    <w:p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Umowę sporządzono w 2 jednobrzmiących egzemplarzach, po 1 dla każdej  ze Stron.</w:t>
      </w:r>
    </w:p>
    <w:p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:rsidR="00422F02" w:rsidRDefault="00422F0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3778FA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B5"/>
    <w:rsid w:val="000268A4"/>
    <w:rsid w:val="00034ABA"/>
    <w:rsid w:val="000D79FE"/>
    <w:rsid w:val="000E0538"/>
    <w:rsid w:val="000E0AFB"/>
    <w:rsid w:val="001079E4"/>
    <w:rsid w:val="001378A9"/>
    <w:rsid w:val="0019747D"/>
    <w:rsid w:val="001C1C88"/>
    <w:rsid w:val="001E40FA"/>
    <w:rsid w:val="001E7B93"/>
    <w:rsid w:val="00204411"/>
    <w:rsid w:val="002205CD"/>
    <w:rsid w:val="00221966"/>
    <w:rsid w:val="00225EB5"/>
    <w:rsid w:val="00235A66"/>
    <w:rsid w:val="00243D59"/>
    <w:rsid w:val="0024651B"/>
    <w:rsid w:val="00280D7E"/>
    <w:rsid w:val="00291A27"/>
    <w:rsid w:val="002952FC"/>
    <w:rsid w:val="002A0749"/>
    <w:rsid w:val="002B246E"/>
    <w:rsid w:val="0030317C"/>
    <w:rsid w:val="00303AB3"/>
    <w:rsid w:val="0031774F"/>
    <w:rsid w:val="0033321D"/>
    <w:rsid w:val="003778FA"/>
    <w:rsid w:val="00393D93"/>
    <w:rsid w:val="003F7908"/>
    <w:rsid w:val="00422F02"/>
    <w:rsid w:val="00427B0D"/>
    <w:rsid w:val="00442E98"/>
    <w:rsid w:val="00443C5F"/>
    <w:rsid w:val="00456106"/>
    <w:rsid w:val="00476270"/>
    <w:rsid w:val="004C2416"/>
    <w:rsid w:val="004E1127"/>
    <w:rsid w:val="004E229B"/>
    <w:rsid w:val="005148F6"/>
    <w:rsid w:val="005602E7"/>
    <w:rsid w:val="00594B7A"/>
    <w:rsid w:val="005A0392"/>
    <w:rsid w:val="005D1CD6"/>
    <w:rsid w:val="005E0374"/>
    <w:rsid w:val="005F6EF6"/>
    <w:rsid w:val="0062223B"/>
    <w:rsid w:val="00627EF2"/>
    <w:rsid w:val="006919A1"/>
    <w:rsid w:val="006B04B3"/>
    <w:rsid w:val="006D77B3"/>
    <w:rsid w:val="006E1508"/>
    <w:rsid w:val="007363AD"/>
    <w:rsid w:val="00781825"/>
    <w:rsid w:val="007A033A"/>
    <w:rsid w:val="007A0840"/>
    <w:rsid w:val="007C7650"/>
    <w:rsid w:val="007F2814"/>
    <w:rsid w:val="008172F0"/>
    <w:rsid w:val="00846D70"/>
    <w:rsid w:val="00860358"/>
    <w:rsid w:val="008E3765"/>
    <w:rsid w:val="008F2072"/>
    <w:rsid w:val="00964630"/>
    <w:rsid w:val="009A6FE3"/>
    <w:rsid w:val="009E0DAF"/>
    <w:rsid w:val="009E2B1E"/>
    <w:rsid w:val="00A32349"/>
    <w:rsid w:val="00AA384E"/>
    <w:rsid w:val="00AC103A"/>
    <w:rsid w:val="00AD02D4"/>
    <w:rsid w:val="00AD21B5"/>
    <w:rsid w:val="00AE73F7"/>
    <w:rsid w:val="00AF22C4"/>
    <w:rsid w:val="00B15BD5"/>
    <w:rsid w:val="00B52D00"/>
    <w:rsid w:val="00B67D54"/>
    <w:rsid w:val="00C14DF5"/>
    <w:rsid w:val="00C548F8"/>
    <w:rsid w:val="00C820C9"/>
    <w:rsid w:val="00CB67A0"/>
    <w:rsid w:val="00CC4471"/>
    <w:rsid w:val="00CD4DC6"/>
    <w:rsid w:val="00CE3AA5"/>
    <w:rsid w:val="00CE5032"/>
    <w:rsid w:val="00CF206A"/>
    <w:rsid w:val="00D06095"/>
    <w:rsid w:val="00D26E45"/>
    <w:rsid w:val="00D7115C"/>
    <w:rsid w:val="00D918D4"/>
    <w:rsid w:val="00DA3987"/>
    <w:rsid w:val="00DA7357"/>
    <w:rsid w:val="00DD66C5"/>
    <w:rsid w:val="00DF77A3"/>
    <w:rsid w:val="00E108B5"/>
    <w:rsid w:val="00E1174A"/>
    <w:rsid w:val="00E36BEC"/>
    <w:rsid w:val="00E36E08"/>
    <w:rsid w:val="00E62AB5"/>
    <w:rsid w:val="00E81682"/>
    <w:rsid w:val="00E93BEB"/>
    <w:rsid w:val="00EB364E"/>
    <w:rsid w:val="00EC5DB8"/>
    <w:rsid w:val="00ED4D59"/>
    <w:rsid w:val="00EE0FFD"/>
    <w:rsid w:val="00EE6808"/>
    <w:rsid w:val="00EF1EF2"/>
    <w:rsid w:val="00EF6E0F"/>
    <w:rsid w:val="00F51403"/>
    <w:rsid w:val="00F959D6"/>
    <w:rsid w:val="00FA2B15"/>
    <w:rsid w:val="00FB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Preis</dc:creator>
  <cp:lastModifiedBy>dodn06pc</cp:lastModifiedBy>
  <cp:revision>4</cp:revision>
  <cp:lastPrinted>2017-03-29T12:14:00Z</cp:lastPrinted>
  <dcterms:created xsi:type="dcterms:W3CDTF">2017-03-21T07:42:00Z</dcterms:created>
  <dcterms:modified xsi:type="dcterms:W3CDTF">2017-03-29T12:14:00Z</dcterms:modified>
</cp:coreProperties>
</file>